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792" w:rsidRPr="00FB3E0B" w:rsidRDefault="00350AA4" w:rsidP="00FB3E0B">
      <w:pPr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                         </w:t>
      </w:r>
      <w:r>
        <w:rPr>
          <w:rFonts w:eastAsia="Andale Sans UI" w:cs="Tahoma"/>
          <w:b/>
          <w:bCs/>
          <w:kern w:val="2"/>
          <w:szCs w:val="24"/>
          <w:lang w:eastAsia="ja-JP" w:bidi="fa-IR"/>
        </w:rPr>
        <w:tab/>
      </w:r>
      <w:r>
        <w:rPr>
          <w:rFonts w:eastAsia="Andale Sans UI" w:cs="Tahoma"/>
          <w:b/>
          <w:bCs/>
          <w:kern w:val="2"/>
          <w:szCs w:val="24"/>
          <w:lang w:eastAsia="ja-JP" w:bidi="fa-IR"/>
        </w:rPr>
        <w:tab/>
      </w:r>
      <w:r>
        <w:rPr>
          <w:rFonts w:eastAsia="Andale Sans UI" w:cs="Tahoma"/>
          <w:b/>
          <w:bCs/>
          <w:kern w:val="2"/>
          <w:szCs w:val="24"/>
          <w:lang w:eastAsia="ja-JP" w:bidi="fa-IR"/>
        </w:rPr>
        <w:tab/>
        <w:t xml:space="preserve">                           </w:t>
      </w:r>
    </w:p>
    <w:p w:rsidR="00132792" w:rsidRDefault="00350AA4">
      <w:pPr>
        <w:keepNext/>
        <w:tabs>
          <w:tab w:val="left" w:pos="0"/>
        </w:tabs>
        <w:spacing w:line="360" w:lineRule="atLeast"/>
        <w:jc w:val="center"/>
        <w:outlineLvl w:val="3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FORMULARZ ASORTYMENTOWO – CENOWY</w:t>
      </w:r>
    </w:p>
    <w:p w:rsidR="00132792" w:rsidRDefault="00413010">
      <w:pPr>
        <w:pStyle w:val="Nagwek2"/>
        <w:numPr>
          <w:ilvl w:val="1"/>
          <w:numId w:val="2"/>
        </w:numPr>
        <w:jc w:val="right"/>
      </w:pPr>
      <w:r>
        <w:t>Załącznik 3.4 do S</w:t>
      </w:r>
      <w:r w:rsidR="00350AA4">
        <w:t>WZ</w:t>
      </w:r>
      <w:r w:rsidR="00FB3E0B">
        <w:t xml:space="preserve"> </w:t>
      </w:r>
      <w:bookmarkStart w:id="0" w:name="_GoBack"/>
      <w:bookmarkEnd w:id="0"/>
    </w:p>
    <w:p w:rsidR="00132792" w:rsidRDefault="00350AA4">
      <w:pPr>
        <w:pStyle w:val="Nagwek2"/>
        <w:numPr>
          <w:ilvl w:val="1"/>
          <w:numId w:val="2"/>
        </w:numPr>
        <w:rPr>
          <w:sz w:val="22"/>
        </w:rPr>
      </w:pPr>
      <w:r>
        <w:rPr>
          <w:sz w:val="22"/>
        </w:rPr>
        <w:t>ZADANIE NR 4</w:t>
      </w:r>
    </w:p>
    <w:p w:rsidR="00132792" w:rsidRDefault="00132792">
      <w:pPr>
        <w:jc w:val="both"/>
      </w:pPr>
    </w:p>
    <w:p w:rsidR="00132792" w:rsidRDefault="00350AA4">
      <w:pPr>
        <w:jc w:val="both"/>
      </w:pPr>
      <w:r>
        <w:t xml:space="preserve">Paski do analizy moczu wraz z najmem analizatora i materiałów medycznych  </w:t>
      </w:r>
    </w:p>
    <w:p w:rsidR="00132792" w:rsidRDefault="00132792">
      <w:pPr>
        <w:jc w:val="both"/>
      </w:pPr>
    </w:p>
    <w:p w:rsidR="00132792" w:rsidRDefault="00132792">
      <w:pPr>
        <w:jc w:val="both"/>
      </w:pPr>
    </w:p>
    <w:tbl>
      <w:tblPr>
        <w:tblW w:w="145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5"/>
        <w:gridCol w:w="2345"/>
        <w:gridCol w:w="855"/>
        <w:gridCol w:w="1140"/>
        <w:gridCol w:w="1470"/>
        <w:gridCol w:w="1185"/>
        <w:gridCol w:w="1140"/>
        <w:gridCol w:w="977"/>
        <w:gridCol w:w="1822"/>
        <w:gridCol w:w="1490"/>
        <w:gridCol w:w="1486"/>
      </w:tblGrid>
      <w:tr w:rsidR="00E67301" w:rsidTr="00471DB9">
        <w:tblPrEx>
          <w:tblCellMar>
            <w:top w:w="0" w:type="dxa"/>
            <w:bottom w:w="0" w:type="dxa"/>
          </w:tblCellMar>
        </w:tblPrEx>
        <w:trPr>
          <w:trHeight w:val="1171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L.p.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Asortyment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  <w:p w:rsidR="00E67301" w:rsidRDefault="00E67301" w:rsidP="00471DB9">
            <w:pPr>
              <w:pStyle w:val="Standard"/>
              <w:jc w:val="both"/>
            </w:pPr>
            <w:proofErr w:type="spellStart"/>
            <w:r>
              <w:t>Jedn</w:t>
            </w:r>
            <w:proofErr w:type="spellEnd"/>
            <w:r>
              <w:t xml:space="preserve"> miary</w:t>
            </w:r>
          </w:p>
          <w:p w:rsidR="00E67301" w:rsidRDefault="00E67301" w:rsidP="00471DB9">
            <w:pPr>
              <w:pStyle w:val="Standard"/>
              <w:jc w:val="both"/>
            </w:pPr>
          </w:p>
          <w:p w:rsidR="00E67301" w:rsidRDefault="00E67301" w:rsidP="00471DB9">
            <w:pPr>
              <w:pStyle w:val="Standard"/>
              <w:jc w:val="both"/>
            </w:pPr>
          </w:p>
          <w:p w:rsidR="00E67301" w:rsidRDefault="00E67301" w:rsidP="00471DB9">
            <w:pPr>
              <w:pStyle w:val="Standard"/>
              <w:jc w:val="both"/>
            </w:pPr>
          </w:p>
          <w:p w:rsidR="00E67301" w:rsidRDefault="00E67301" w:rsidP="00471DB9">
            <w:pPr>
              <w:pStyle w:val="Standard"/>
            </w:pPr>
          </w:p>
        </w:tc>
        <w:tc>
          <w:tcPr>
            <w:tcW w:w="11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 xml:space="preserve">                          </w:t>
            </w:r>
          </w:p>
          <w:p w:rsidR="00E67301" w:rsidRDefault="00E67301" w:rsidP="00471DB9">
            <w:pPr>
              <w:pStyle w:val="Standard"/>
            </w:pPr>
            <w:r>
              <w:t>Ilość badań</w:t>
            </w:r>
          </w:p>
          <w:p w:rsidR="00E67301" w:rsidRDefault="00E67301" w:rsidP="00471DB9">
            <w:pPr>
              <w:pStyle w:val="Standard"/>
            </w:pPr>
            <w:r>
              <w:t>na 24 miesiące</w:t>
            </w:r>
          </w:p>
          <w:p w:rsidR="00E67301" w:rsidRDefault="00E67301" w:rsidP="00471DB9">
            <w:pPr>
              <w:pStyle w:val="Standard"/>
              <w:jc w:val="both"/>
            </w:pPr>
          </w:p>
          <w:p w:rsidR="00E67301" w:rsidRDefault="00E67301" w:rsidP="00471DB9">
            <w:pPr>
              <w:pStyle w:val="Standard"/>
              <w:jc w:val="center"/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  <w:p w:rsidR="00E67301" w:rsidRDefault="00E67301" w:rsidP="00471DB9">
            <w:pPr>
              <w:pStyle w:val="Standard"/>
              <w:jc w:val="both"/>
            </w:pPr>
            <w:r>
              <w:t xml:space="preserve">Wielkość </w:t>
            </w:r>
            <w:proofErr w:type="spellStart"/>
            <w:r>
              <w:t>opakowaniahandlowego</w:t>
            </w:r>
            <w:proofErr w:type="spellEnd"/>
          </w:p>
          <w:p w:rsidR="00E67301" w:rsidRDefault="00E67301" w:rsidP="00471DB9">
            <w:pPr>
              <w:pStyle w:val="Standard"/>
            </w:pPr>
          </w:p>
        </w:tc>
        <w:tc>
          <w:tcPr>
            <w:tcW w:w="118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  <w:p w:rsidR="00E67301" w:rsidRDefault="00E67301" w:rsidP="00471DB9">
            <w:pPr>
              <w:pStyle w:val="Standard"/>
            </w:pPr>
            <w:r>
              <w:t>Ilość opakowań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  <w:p w:rsidR="00E67301" w:rsidRDefault="00E67301" w:rsidP="00471DB9">
            <w:pPr>
              <w:pStyle w:val="Standard"/>
            </w:pPr>
            <w:r>
              <w:t>Cena jedn. opakowania netto</w:t>
            </w:r>
          </w:p>
          <w:p w:rsidR="00E67301" w:rsidRDefault="00E67301" w:rsidP="00471DB9">
            <w:pPr>
              <w:pStyle w:val="Standard"/>
              <w:jc w:val="center"/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  <w:p w:rsidR="00E67301" w:rsidRDefault="00E67301" w:rsidP="00471DB9">
            <w:pPr>
              <w:pStyle w:val="Standard"/>
              <w:jc w:val="both"/>
            </w:pPr>
            <w:r>
              <w:t>Wartość netto</w:t>
            </w: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  <w:p w:rsidR="00E67301" w:rsidRDefault="00E67301" w:rsidP="00471DB9">
            <w:pPr>
              <w:pStyle w:val="Standard"/>
              <w:jc w:val="both"/>
            </w:pPr>
            <w:r>
              <w:t>Wartość VAT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  <w:p w:rsidR="00E67301" w:rsidRDefault="00E67301" w:rsidP="00471DB9">
            <w:pPr>
              <w:pStyle w:val="Standard"/>
              <w:jc w:val="both"/>
            </w:pPr>
            <w:r>
              <w:t>Wartość brutto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  <w:p w:rsidR="00E67301" w:rsidRDefault="00E67301" w:rsidP="00471DB9">
            <w:pPr>
              <w:pStyle w:val="Standard"/>
              <w:jc w:val="both"/>
            </w:pPr>
            <w:r>
              <w:t>Numer katalogowy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1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Paski do analizy moczu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 xml:space="preserve">  szt.</w:t>
            </w:r>
          </w:p>
        </w:tc>
        <w:tc>
          <w:tcPr>
            <w:tcW w:w="11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</w:pPr>
            <w:r>
              <w:t xml:space="preserve">  26 000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</w:pPr>
            <w:r>
              <w:t xml:space="preserve"> </w:t>
            </w:r>
          </w:p>
        </w:tc>
        <w:tc>
          <w:tcPr>
            <w:tcW w:w="118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2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Kuwety do osadu moczu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 xml:space="preserve">  szt.</w:t>
            </w:r>
          </w:p>
        </w:tc>
        <w:tc>
          <w:tcPr>
            <w:tcW w:w="11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 xml:space="preserve">  26 000</w:t>
            </w:r>
          </w:p>
          <w:p w:rsidR="00E67301" w:rsidRDefault="00E67301" w:rsidP="00471DB9">
            <w:pPr>
              <w:pStyle w:val="Standard"/>
              <w:jc w:val="center"/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</w:pPr>
            <w:r>
              <w:t xml:space="preserve"> </w:t>
            </w:r>
          </w:p>
        </w:tc>
        <w:tc>
          <w:tcPr>
            <w:tcW w:w="118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3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proofErr w:type="spellStart"/>
            <w:r>
              <w:t>Dip</w:t>
            </w:r>
            <w:r>
              <w:rPr>
                <w:rFonts w:cs="Times New Roman"/>
              </w:rPr>
              <w:t>&amp;</w:t>
            </w:r>
            <w:r>
              <w:t>Spin</w:t>
            </w:r>
            <w:proofErr w:type="spellEnd"/>
            <w:r>
              <w:t xml:space="preserve"> L1Control lub  równoważne*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</w:pPr>
            <w:r>
              <w:t xml:space="preserve">  ml</w:t>
            </w:r>
          </w:p>
        </w:tc>
        <w:tc>
          <w:tcPr>
            <w:tcW w:w="11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 xml:space="preserve">   2 000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</w:pPr>
            <w:r>
              <w:t xml:space="preserve">  </w:t>
            </w:r>
          </w:p>
        </w:tc>
        <w:tc>
          <w:tcPr>
            <w:tcW w:w="118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4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proofErr w:type="spellStart"/>
            <w:r>
              <w:t>Dip&amp;Spin</w:t>
            </w:r>
            <w:proofErr w:type="spellEnd"/>
            <w:r>
              <w:t xml:space="preserve"> </w:t>
            </w:r>
            <w:proofErr w:type="spellStart"/>
            <w:r>
              <w:t>LControl</w:t>
            </w:r>
            <w:proofErr w:type="spellEnd"/>
            <w:r>
              <w:t xml:space="preserve"> lub równoważne*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</w:pPr>
            <w:r>
              <w:t xml:space="preserve">  ml</w:t>
            </w:r>
          </w:p>
          <w:p w:rsidR="00E67301" w:rsidRDefault="00E67301" w:rsidP="00471DB9">
            <w:pPr>
              <w:pStyle w:val="Standard"/>
            </w:pPr>
          </w:p>
        </w:tc>
        <w:tc>
          <w:tcPr>
            <w:tcW w:w="11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</w:pPr>
            <w:r>
              <w:t xml:space="preserve">   2 000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</w:pPr>
            <w:r>
              <w:t xml:space="preserve">  </w:t>
            </w:r>
          </w:p>
        </w:tc>
        <w:tc>
          <w:tcPr>
            <w:tcW w:w="118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5.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Dzierżawa analizatora 1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m-ce</w:t>
            </w:r>
          </w:p>
        </w:tc>
        <w:tc>
          <w:tcPr>
            <w:tcW w:w="11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 xml:space="preserve">     24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 xml:space="preserve">   </w:t>
            </w:r>
          </w:p>
        </w:tc>
        <w:tc>
          <w:tcPr>
            <w:tcW w:w="118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6.</w:t>
            </w:r>
          </w:p>
        </w:tc>
        <w:tc>
          <w:tcPr>
            <w:tcW w:w="2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Dzierżawa analizatora 2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m-ce</w:t>
            </w:r>
          </w:p>
        </w:tc>
        <w:tc>
          <w:tcPr>
            <w:tcW w:w="114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 xml:space="preserve">     24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</w:pPr>
            <w:r>
              <w:t xml:space="preserve">    </w:t>
            </w:r>
          </w:p>
        </w:tc>
        <w:tc>
          <w:tcPr>
            <w:tcW w:w="118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646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18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</w:tr>
    </w:tbl>
    <w:p w:rsidR="00E67301" w:rsidRDefault="00E67301" w:rsidP="00E67301">
      <w:pPr>
        <w:pStyle w:val="Standard"/>
        <w:jc w:val="both"/>
      </w:pPr>
    </w:p>
    <w:p w:rsidR="00E67301" w:rsidRDefault="00E67301" w:rsidP="00E67301">
      <w:pPr>
        <w:pStyle w:val="Standard"/>
        <w:jc w:val="both"/>
      </w:pPr>
      <w:r>
        <w:t>* W ilości umożliwiającej wykonanie kontroli każdego dnia w czasie trwania umowy.</w:t>
      </w:r>
    </w:p>
    <w:p w:rsidR="00E67301" w:rsidRDefault="00E67301" w:rsidP="00E67301">
      <w:pPr>
        <w:pStyle w:val="Standard"/>
        <w:jc w:val="both"/>
      </w:pPr>
    </w:p>
    <w:p w:rsidR="00E67301" w:rsidRDefault="00E67301" w:rsidP="00E67301">
      <w:pPr>
        <w:pStyle w:val="Standard"/>
        <w:jc w:val="both"/>
      </w:pPr>
    </w:p>
    <w:p w:rsidR="00E67301" w:rsidRDefault="00E67301" w:rsidP="00E67301">
      <w:pPr>
        <w:pStyle w:val="Standard"/>
        <w:jc w:val="both"/>
      </w:pPr>
      <w:r>
        <w:t xml:space="preserve"> </w:t>
      </w:r>
    </w:p>
    <w:p w:rsidR="00E67301" w:rsidRDefault="00E67301" w:rsidP="00E67301">
      <w:pPr>
        <w:pStyle w:val="Standard"/>
        <w:jc w:val="both"/>
      </w:pPr>
    </w:p>
    <w:p w:rsidR="00E67301" w:rsidRDefault="00E67301" w:rsidP="00E67301">
      <w:pPr>
        <w:pStyle w:val="Standard"/>
        <w:jc w:val="both"/>
      </w:pPr>
      <w:r>
        <w:t>Wartość brutto najmu analizatora 1</w:t>
      </w:r>
      <w:r>
        <w:rPr>
          <w:vertAlign w:val="superscript"/>
        </w:rPr>
        <w:t>* (okres  24  miesięczny)</w:t>
      </w:r>
    </w:p>
    <w:p w:rsidR="00E67301" w:rsidRDefault="00E67301" w:rsidP="00E67301">
      <w:pPr>
        <w:pStyle w:val="Standard"/>
        <w:jc w:val="both"/>
      </w:pPr>
      <w:r>
        <w:t xml:space="preserve"> wynosi ........................... zł</w:t>
      </w:r>
    </w:p>
    <w:p w:rsidR="00E67301" w:rsidRDefault="00E67301" w:rsidP="00E67301">
      <w:pPr>
        <w:pStyle w:val="Standard"/>
        <w:jc w:val="both"/>
      </w:pPr>
      <w:r>
        <w:t>słownie: ...........................................................................................................................................</w:t>
      </w:r>
    </w:p>
    <w:p w:rsidR="00E67301" w:rsidRDefault="00E67301" w:rsidP="00E67301">
      <w:pPr>
        <w:pStyle w:val="Standard"/>
        <w:jc w:val="both"/>
      </w:pPr>
      <w:r>
        <w:t>Wartość początkowa urządzenia  wynosi …...........… zł netto plus...% podatek VAT,  łącznie ... zł brutto (słownie: …............ zł).</w:t>
      </w:r>
    </w:p>
    <w:p w:rsidR="00E67301" w:rsidRDefault="00E67301" w:rsidP="00E67301">
      <w:pPr>
        <w:pStyle w:val="Standard"/>
        <w:jc w:val="both"/>
      </w:pPr>
      <w:r>
        <w:t>Wartość brutto najmu analizatora 2</w:t>
      </w:r>
      <w:r>
        <w:rPr>
          <w:vertAlign w:val="superscript"/>
        </w:rPr>
        <w:t>* (okres  24 miesięczny)</w:t>
      </w:r>
    </w:p>
    <w:p w:rsidR="00E67301" w:rsidRDefault="00E67301" w:rsidP="00E67301">
      <w:pPr>
        <w:pStyle w:val="Standard"/>
        <w:jc w:val="both"/>
      </w:pPr>
      <w:r>
        <w:t xml:space="preserve"> wynosi ........................... zł</w:t>
      </w:r>
    </w:p>
    <w:p w:rsidR="00E67301" w:rsidRDefault="00E67301" w:rsidP="00E67301">
      <w:pPr>
        <w:pStyle w:val="Standard"/>
        <w:jc w:val="both"/>
      </w:pPr>
      <w:r>
        <w:t>słownie: ...........................................................................................................................................</w:t>
      </w:r>
    </w:p>
    <w:p w:rsidR="00E67301" w:rsidRDefault="00E67301" w:rsidP="00E67301">
      <w:pPr>
        <w:pStyle w:val="Standard"/>
        <w:jc w:val="both"/>
      </w:pPr>
      <w:r>
        <w:t>Wartość początkowa urządzeń  wynosi …...........… zł netto plus...% podatek VAT,  łącznie ... zł brutto (słownie: …............ zł).</w:t>
      </w:r>
    </w:p>
    <w:p w:rsidR="00132792" w:rsidRDefault="00132792">
      <w:pPr>
        <w:jc w:val="both"/>
      </w:pPr>
    </w:p>
    <w:p w:rsidR="00132792" w:rsidRDefault="00132792">
      <w:pPr>
        <w:jc w:val="both"/>
      </w:pPr>
    </w:p>
    <w:p w:rsidR="00132792" w:rsidRDefault="00350AA4">
      <w:pPr>
        <w:jc w:val="both"/>
      </w:pPr>
      <w:r>
        <w:t>* W ilości umożliwiającej wykonanie kontroli każdego dnia w czasie trwania umowy.</w:t>
      </w:r>
    </w:p>
    <w:p w:rsidR="009F2AE2" w:rsidRDefault="00350AA4" w:rsidP="009F2AE2">
      <w:pPr>
        <w:jc w:val="both"/>
      </w:pPr>
      <w:r>
        <w:t xml:space="preserve">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10"/>
        <w:gridCol w:w="3483"/>
      </w:tblGrid>
      <w:tr w:rsidR="009F2AE2" w:rsidRPr="009F2AE2" w:rsidTr="009F2AE2">
        <w:trPr>
          <w:trHeight w:val="300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2AE2" w:rsidRPr="009F2AE2" w:rsidRDefault="009F2AE2" w:rsidP="009F2AE2">
            <w:pPr>
              <w:jc w:val="both"/>
              <w:rPr>
                <w:b/>
                <w:bCs/>
              </w:rPr>
            </w:pPr>
            <w:r w:rsidRPr="009F2AE2">
              <w:rPr>
                <w:b/>
                <w:bCs/>
              </w:rPr>
              <w:t>Nazwa i adres Wykonawcy: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2AE2" w:rsidRPr="009F2AE2" w:rsidRDefault="009F2AE2" w:rsidP="009F2AE2">
            <w:pPr>
              <w:jc w:val="both"/>
              <w:rPr>
                <w:b/>
                <w:bCs/>
              </w:rPr>
            </w:pPr>
          </w:p>
        </w:tc>
      </w:tr>
    </w:tbl>
    <w:p w:rsidR="00132792" w:rsidRDefault="00132792">
      <w:pPr>
        <w:jc w:val="both"/>
      </w:pPr>
    </w:p>
    <w:p w:rsidR="00132792" w:rsidRDefault="00350AA4" w:rsidP="00E67301">
      <w:pPr>
        <w:jc w:val="both"/>
      </w:pPr>
      <w:r>
        <w:t xml:space="preserve">   </w:t>
      </w:r>
    </w:p>
    <w:p w:rsidR="00E67301" w:rsidRDefault="00E67301" w:rsidP="00E67301">
      <w:pPr>
        <w:pStyle w:val="Standard"/>
      </w:pPr>
    </w:p>
    <w:tbl>
      <w:tblPr>
        <w:tblW w:w="127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2052"/>
      </w:tblGrid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Wymagania – platforma systemowa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Półautomatyczny, zintegrowany system oceny próbek w zakresie właściwości fizykochemicznych oraz osadu moczu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Syntetyczna, łączna z obydwu modułów analiza danych na komputerze analizatora osadu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 xml:space="preserve">Oferowane urządzenia po zainstalowaniu muszą być gotowe do pracy bez żadnych dodatkowych </w:t>
            </w:r>
            <w:proofErr w:type="spellStart"/>
            <w:r>
              <w:t>zakupow</w:t>
            </w:r>
            <w:proofErr w:type="spellEnd"/>
            <w:r>
              <w:t xml:space="preserve"> po stronie zamawiającego ( nie dotyczy materiałów zużywanych do wykonania badania)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4.</w:t>
            </w:r>
          </w:p>
        </w:tc>
        <w:tc>
          <w:tcPr>
            <w:tcW w:w="120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Oferent zapewni w ramach umowy podłączenie  i konfigurację analizatorów/platformy do funkcjonującego w laboratorium systemu LIS (komunikacja dwukierunkowa). Oferent zapewnia w ramach umowy autoryzowany serwis techniczny obejmujący oryginalne części zamienne w tym bezpłatne przeglądy okresowe obu analizatorów ( rutynowy przegląd raz w roku lub częściej jeśli wymaga tego producent ), bezpłatny dojazd i roboczogodziny inżyniera serwisu w trakcie trwania umowy. Dzierżawca pokrywa koszty części zużywalnych .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Możliwość wprowadzenia ID pacjenta przy pomocy czytnika kodów kreskowych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Automatyczna kalibracja modułów systemu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Wymagania - część do pasków analizy moczu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Półautomatyczny czytnik pasków do oznaczania właściwości fizyko-chemicznych moczu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Wydajność czytnika 500 pasków/ godz.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Czytnik wyposażony w ciekłokrystaliczny, kolorowy wyświetlacz dotykowy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Wbudowana drukarka termiczna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Możliwość dowolnego ułożenia paska na mechanizm transportowy, gwarantujący prawidłowy odczyt przez aparat.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Pamięć wyników min. 6000 pomiarów wraz ze wszystkimi wprowadzonymi danymi pacjenta, komentarzami oraz barwą i klarownością moczu wprowadzonymi i definiowanymi przez użytkownika.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Zamknięty pojemnik na zużyte paski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 xml:space="preserve">Kompatybilne z czytnikiem paski 11-sto parametrowe( możliwość oznaczania : leukocytów, ciał ketonowych, białka, glukozy azotynów, </w:t>
            </w:r>
            <w:proofErr w:type="spellStart"/>
            <w:r>
              <w:t>erytrocytó</w:t>
            </w:r>
            <w:proofErr w:type="spellEnd"/>
            <w:r>
              <w:t xml:space="preserve">, urobilinogenu, </w:t>
            </w:r>
            <w:proofErr w:type="spellStart"/>
            <w:r>
              <w:t>bilirubiny,pH</w:t>
            </w:r>
            <w:proofErr w:type="spellEnd"/>
            <w:r>
              <w:t>, ciężaru właściwego, kwasu askorbinowego ) wyposażone w pole kompensujące barwę moczu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Automatyczne uruchamianie inkubacji / pomiaru po wykryciu paska na podajniku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Polskie oprogramowanie czytnika, z flagowaniem wyników patologicznych.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Możliwość wprowadzenia  do czytnika ID pacjenta barwy, klarowności, informacji dotyczącej osadu moczu oraz komentarzy własnych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Możliwość niezależnego wyboru przez użytkownika jednostek tradycyjnych, SI oraz arbitrażowych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Możliwość wykonywania oznaczeń z zakresu kontroli jakości na min 2 poziomach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Brak elementów gumowych w torze podajnika pasków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Możliwość filtrowania wyników w pamięci analizatora wg zadanych kryteriów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Wbudowany czujnik rozpoznający obecność paska na podajniku i prawidłowe położenie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Możliwość komunikacji ze środowiskiem zewnętrznym za pośrednictwem modułu wifi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Zintegrowany moduł transmisji danych według protokołu HL7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Materiały /</w:t>
            </w:r>
            <w:proofErr w:type="spellStart"/>
            <w:r>
              <w:t>częśći</w:t>
            </w:r>
            <w:proofErr w:type="spellEnd"/>
            <w:r>
              <w:t xml:space="preserve"> zużywalne dostarczane przez autoryzowanego dystrybutora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120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Możliwość bezpośredniego połączenia czytnika z analizatorem osadu moczu w jeden zintegrowany system oceny badanych próbek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Wymagania - część do osadu moczu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Półautomatyczny analizator osadu moczu z wykorzystaniem mikroskopii jasnego pola, tego samego producenta co oferowany czytnik pasków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Wydajność analizatora 60 osadów/ godz.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Obrazowanie próbek badanych tożsame z polem widzenia  powiększenie x 400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Technologia obrazowania w torze modułu oceny AIEM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Jednorazowe kuwety pomiarowe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Analizator z wbudowanym komputerem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Pamięć wyników min. 5000 pomiarów wraz ze wszystkimi obrazami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Analizator nie wymagający jakichkolwiek odczynników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Brak konieczności wirowania próbki badanej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Polskie oprogramowanie analizatora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Możliwość pracy w trybie mikroskopu manualnego i obrazowania elementów żywych w próbce badanej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Aparat wyposażony w moduł wifi do łączności ze środowiskiem zewnętrznym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1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Zintegrowany moduł transmisji danych według protokołu HL7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14.</w:t>
            </w:r>
          </w:p>
        </w:tc>
        <w:tc>
          <w:tcPr>
            <w:tcW w:w="120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Możliwość bezpośredniego połączenia analizatora  osadu moczu z czytnikiem pasków w jeden zintegrowany system oceny badanych próbek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15.</w:t>
            </w:r>
          </w:p>
        </w:tc>
        <w:tc>
          <w:tcPr>
            <w:tcW w:w="120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Materiały/części zużywalne dostarczane przez autoryzowanego dystrybutora</w:t>
            </w:r>
          </w:p>
        </w:tc>
      </w:tr>
      <w:tr w:rsidR="00E67301" w:rsidTr="00471DB9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16.</w:t>
            </w:r>
          </w:p>
        </w:tc>
        <w:tc>
          <w:tcPr>
            <w:tcW w:w="120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:rsidR="00E67301" w:rsidRDefault="00E67301" w:rsidP="00471DB9">
            <w:pPr>
              <w:pStyle w:val="Standard"/>
              <w:jc w:val="both"/>
            </w:pPr>
            <w:r>
              <w:t>Automatyczna kalibracja analizatora podczas uruchamiania</w:t>
            </w:r>
          </w:p>
        </w:tc>
      </w:tr>
    </w:tbl>
    <w:p w:rsidR="00E67301" w:rsidRDefault="00E67301" w:rsidP="00E67301">
      <w:pPr>
        <w:pStyle w:val="Standard"/>
      </w:pPr>
    </w:p>
    <w:p w:rsidR="00132792" w:rsidRDefault="00132792">
      <w:pPr>
        <w:jc w:val="both"/>
      </w:pPr>
    </w:p>
    <w:p w:rsidR="00132792" w:rsidRDefault="00132792">
      <w:pPr>
        <w:jc w:val="both"/>
      </w:pPr>
    </w:p>
    <w:p w:rsidR="00132792" w:rsidRDefault="00132792">
      <w:pPr>
        <w:keepNext/>
        <w:tabs>
          <w:tab w:val="left" w:pos="0"/>
        </w:tabs>
        <w:spacing w:line="360" w:lineRule="atLeast"/>
        <w:outlineLvl w:val="3"/>
      </w:pPr>
    </w:p>
    <w:sectPr w:rsidR="00132792">
      <w:footerReference w:type="default" r:id="rId7"/>
      <w:pgSz w:w="16838" w:h="11906" w:orient="landscape"/>
      <w:pgMar w:top="993" w:right="917" w:bottom="1135" w:left="960" w:header="0" w:footer="708" w:gutter="0"/>
      <w:pgNumType w:start="9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F90" w:rsidRDefault="00AD5F90">
      <w:r>
        <w:separator/>
      </w:r>
    </w:p>
  </w:endnote>
  <w:endnote w:type="continuationSeparator" w:id="0">
    <w:p w:rsidR="00AD5F90" w:rsidRDefault="00AD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OpenSymbol, 'Arial Unicode MS'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F90" w:rsidRDefault="00AD5F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F90" w:rsidRDefault="00AD5F90">
      <w:r>
        <w:separator/>
      </w:r>
    </w:p>
  </w:footnote>
  <w:footnote w:type="continuationSeparator" w:id="0">
    <w:p w:rsidR="00AD5F90" w:rsidRDefault="00AD5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56899"/>
    <w:multiLevelType w:val="multilevel"/>
    <w:tmpl w:val="FB4C5B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1A4B18"/>
    <w:multiLevelType w:val="multilevel"/>
    <w:tmpl w:val="2DA20A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792"/>
    <w:rsid w:val="00132792"/>
    <w:rsid w:val="00350AA4"/>
    <w:rsid w:val="00413010"/>
    <w:rsid w:val="005C3624"/>
    <w:rsid w:val="0068658C"/>
    <w:rsid w:val="009F2AE2"/>
    <w:rsid w:val="00AD5F90"/>
    <w:rsid w:val="00B47A6D"/>
    <w:rsid w:val="00BB3E90"/>
    <w:rsid w:val="00D566C0"/>
    <w:rsid w:val="00E67301"/>
    <w:rsid w:val="00FB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5B19A-6B00-4F83-87A6-D81FCFDF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89C"/>
    <w:pPr>
      <w:suppressAutoHyphens/>
    </w:pPr>
    <w:rPr>
      <w:rFonts w:ascii="Times New Roman" w:eastAsia="Times New Roman" w:hAnsi="Times New Roman" w:cs="CG Times"/>
      <w:color w:val="00000A"/>
      <w:szCs w:val="20"/>
      <w:lang w:eastAsia="zh-CN"/>
    </w:rPr>
  </w:style>
  <w:style w:type="paragraph" w:styleId="Nagwek2">
    <w:name w:val="heading 2"/>
    <w:basedOn w:val="Normalny"/>
    <w:link w:val="Nagwek2Znak"/>
    <w:qFormat/>
    <w:rsid w:val="00002467"/>
    <w:pPr>
      <w:keepNext/>
      <w:numPr>
        <w:ilvl w:val="1"/>
        <w:numId w:val="1"/>
      </w:numPr>
      <w:spacing w:line="360" w:lineRule="atLeast"/>
      <w:outlineLvl w:val="1"/>
    </w:pPr>
    <w:rPr>
      <w:b/>
      <w:sz w:val="24"/>
    </w:rPr>
  </w:style>
  <w:style w:type="paragraph" w:styleId="Nagwek5">
    <w:name w:val="heading 5"/>
    <w:basedOn w:val="Normalny"/>
    <w:link w:val="Nagwek5Znak"/>
    <w:qFormat/>
    <w:rsid w:val="00002467"/>
    <w:pPr>
      <w:keepNext/>
      <w:numPr>
        <w:ilvl w:val="4"/>
        <w:numId w:val="1"/>
      </w:numPr>
      <w:spacing w:line="360" w:lineRule="atLeast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D3689C"/>
    <w:rPr>
      <w:rFonts w:ascii="Times New Roman" w:eastAsia="Times New Roman" w:hAnsi="Times New Roman" w:cs="CG Times"/>
      <w:i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3EAB"/>
    <w:rPr>
      <w:rFonts w:ascii="Times New Roman" w:eastAsia="Times New Roman" w:hAnsi="Times New Roman" w:cs="CG Times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3EAB"/>
    <w:rPr>
      <w:rFonts w:ascii="Times New Roman" w:eastAsia="Times New Roman" w:hAnsi="Times New Roman" w:cs="CG Times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002467"/>
    <w:rPr>
      <w:rFonts w:ascii="Times New Roman" w:eastAsia="Times New Roman" w:hAnsi="Times New Roman" w:cs="CG Times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qFormat/>
    <w:rsid w:val="00002467"/>
    <w:rPr>
      <w:rFonts w:ascii="Times New Roman" w:eastAsia="Times New Roman" w:hAnsi="Times New Roman" w:cs="CG Times"/>
      <w:sz w:val="24"/>
      <w:szCs w:val="20"/>
      <w:lang w:eastAsia="zh-CN"/>
    </w:rPr>
  </w:style>
  <w:style w:type="character" w:customStyle="1" w:styleId="ListLabel1">
    <w:name w:val="ListLabel 1"/>
    <w:qFormat/>
    <w:rPr>
      <w:rFonts w:cs="OpenSymbol, 'Arial Unicode MS'"/>
      <w:sz w:val="24"/>
    </w:rPr>
  </w:style>
  <w:style w:type="character" w:customStyle="1" w:styleId="ListLabel2">
    <w:name w:val="ListLabel 2"/>
    <w:qFormat/>
    <w:rPr>
      <w:rFonts w:cs="OpenSymbol, 'Arial Unicode MS'"/>
    </w:rPr>
  </w:style>
  <w:style w:type="character" w:customStyle="1" w:styleId="ListLabel3">
    <w:name w:val="ListLabel 3"/>
    <w:qFormat/>
    <w:rPr>
      <w:rFonts w:cs="OpenSymbol, 'Arial Unicode MS'"/>
    </w:rPr>
  </w:style>
  <w:style w:type="character" w:customStyle="1" w:styleId="ListLabel4">
    <w:name w:val="ListLabel 4"/>
    <w:qFormat/>
    <w:rPr>
      <w:rFonts w:cs="OpenSymbol, 'Arial Unicode MS'"/>
    </w:rPr>
  </w:style>
  <w:style w:type="character" w:customStyle="1" w:styleId="ListLabel5">
    <w:name w:val="ListLabel 5"/>
    <w:qFormat/>
    <w:rPr>
      <w:rFonts w:cs="OpenSymbol, 'Arial Unicode MS'"/>
    </w:rPr>
  </w:style>
  <w:style w:type="character" w:customStyle="1" w:styleId="ListLabel6">
    <w:name w:val="ListLabel 6"/>
    <w:qFormat/>
    <w:rPr>
      <w:rFonts w:cs="OpenSymbol, 'Arial Unicode MS'"/>
    </w:rPr>
  </w:style>
  <w:style w:type="character" w:customStyle="1" w:styleId="ListLabel7">
    <w:name w:val="ListLabel 7"/>
    <w:qFormat/>
    <w:rPr>
      <w:rFonts w:cs="OpenSymbol, 'Arial Unicode MS'"/>
    </w:rPr>
  </w:style>
  <w:style w:type="character" w:customStyle="1" w:styleId="ListLabel8">
    <w:name w:val="ListLabel 8"/>
    <w:qFormat/>
    <w:rPr>
      <w:rFonts w:cs="OpenSymbol, 'Arial Unicode MS'"/>
    </w:rPr>
  </w:style>
  <w:style w:type="character" w:customStyle="1" w:styleId="ListLabel9">
    <w:name w:val="ListLabel 9"/>
    <w:qFormat/>
    <w:rPr>
      <w:rFonts w:cs="OpenSymbol, 'Arial Unicode MS'"/>
    </w:rPr>
  </w:style>
  <w:style w:type="character" w:customStyle="1" w:styleId="ListLabel10">
    <w:name w:val="ListLabel 10"/>
    <w:qFormat/>
    <w:rPr>
      <w:rFonts w:cs="Symbol"/>
      <w:sz w:val="24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  <w:sz w:val="24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OpenSymbol, 'Arial Unicode MS'"/>
      <w:sz w:val="24"/>
    </w:rPr>
  </w:style>
  <w:style w:type="character" w:customStyle="1" w:styleId="ListLabel29">
    <w:name w:val="ListLabel 29"/>
    <w:qFormat/>
    <w:rPr>
      <w:rFonts w:cs="OpenSymbol, 'Arial Unicode MS'"/>
    </w:rPr>
  </w:style>
  <w:style w:type="character" w:customStyle="1" w:styleId="ListLabel30">
    <w:name w:val="ListLabel 30"/>
    <w:qFormat/>
    <w:rPr>
      <w:rFonts w:cs="OpenSymbol, 'Arial Unicode MS'"/>
    </w:rPr>
  </w:style>
  <w:style w:type="character" w:customStyle="1" w:styleId="ListLabel31">
    <w:name w:val="ListLabel 31"/>
    <w:qFormat/>
    <w:rPr>
      <w:rFonts w:cs="OpenSymbol, 'Arial Unicode MS'"/>
    </w:rPr>
  </w:style>
  <w:style w:type="character" w:customStyle="1" w:styleId="ListLabel32">
    <w:name w:val="ListLabel 32"/>
    <w:qFormat/>
    <w:rPr>
      <w:rFonts w:cs="OpenSymbol, 'Arial Unicode MS'"/>
    </w:rPr>
  </w:style>
  <w:style w:type="character" w:customStyle="1" w:styleId="ListLabel33">
    <w:name w:val="ListLabel 33"/>
    <w:qFormat/>
    <w:rPr>
      <w:rFonts w:cs="OpenSymbol, 'Arial Unicode MS'"/>
    </w:rPr>
  </w:style>
  <w:style w:type="character" w:customStyle="1" w:styleId="ListLabel34">
    <w:name w:val="ListLabel 34"/>
    <w:qFormat/>
    <w:rPr>
      <w:rFonts w:cs="OpenSymbol, 'Arial Unicode MS'"/>
    </w:rPr>
  </w:style>
  <w:style w:type="character" w:customStyle="1" w:styleId="ListLabel35">
    <w:name w:val="ListLabel 35"/>
    <w:qFormat/>
    <w:rPr>
      <w:rFonts w:cs="OpenSymbol, 'Arial Unicode MS'"/>
    </w:rPr>
  </w:style>
  <w:style w:type="character" w:customStyle="1" w:styleId="ListLabel36">
    <w:name w:val="ListLabel 36"/>
    <w:qFormat/>
    <w:rPr>
      <w:rFonts w:cs="OpenSymbol, 'Arial Unicode MS'"/>
    </w:rPr>
  </w:style>
  <w:style w:type="character" w:customStyle="1" w:styleId="ListLabel37">
    <w:name w:val="ListLabel 37"/>
    <w:qFormat/>
    <w:rPr>
      <w:rFonts w:cs="Symbol"/>
      <w:sz w:val="24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  <w:sz w:val="24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OpenSymbol, 'Arial Unicode MS'"/>
      <w:sz w:val="24"/>
    </w:rPr>
  </w:style>
  <w:style w:type="character" w:customStyle="1" w:styleId="ListLabel56">
    <w:name w:val="ListLabel 56"/>
    <w:qFormat/>
    <w:rPr>
      <w:rFonts w:cs="OpenSymbol, 'Arial Unicode MS'"/>
    </w:rPr>
  </w:style>
  <w:style w:type="character" w:customStyle="1" w:styleId="ListLabel57">
    <w:name w:val="ListLabel 57"/>
    <w:qFormat/>
    <w:rPr>
      <w:rFonts w:cs="OpenSymbol, 'Arial Unicode MS'"/>
    </w:rPr>
  </w:style>
  <w:style w:type="character" w:customStyle="1" w:styleId="ListLabel58">
    <w:name w:val="ListLabel 58"/>
    <w:qFormat/>
    <w:rPr>
      <w:rFonts w:cs="OpenSymbol, 'Arial Unicode MS'"/>
    </w:rPr>
  </w:style>
  <w:style w:type="character" w:customStyle="1" w:styleId="ListLabel59">
    <w:name w:val="ListLabel 59"/>
    <w:qFormat/>
    <w:rPr>
      <w:rFonts w:cs="OpenSymbol, 'Arial Unicode MS'"/>
    </w:rPr>
  </w:style>
  <w:style w:type="character" w:customStyle="1" w:styleId="ListLabel60">
    <w:name w:val="ListLabel 60"/>
    <w:qFormat/>
    <w:rPr>
      <w:rFonts w:cs="OpenSymbol, 'Arial Unicode MS'"/>
    </w:rPr>
  </w:style>
  <w:style w:type="character" w:customStyle="1" w:styleId="ListLabel61">
    <w:name w:val="ListLabel 61"/>
    <w:qFormat/>
    <w:rPr>
      <w:rFonts w:cs="OpenSymbol, 'Arial Unicode MS'"/>
    </w:rPr>
  </w:style>
  <w:style w:type="character" w:customStyle="1" w:styleId="ListLabel62">
    <w:name w:val="ListLabel 62"/>
    <w:qFormat/>
    <w:rPr>
      <w:rFonts w:cs="OpenSymbol, 'Arial Unicode MS'"/>
    </w:rPr>
  </w:style>
  <w:style w:type="character" w:customStyle="1" w:styleId="ListLabel63">
    <w:name w:val="ListLabel 63"/>
    <w:qFormat/>
    <w:rPr>
      <w:rFonts w:cs="OpenSymbol, 'Arial Unicode MS'"/>
    </w:rPr>
  </w:style>
  <w:style w:type="character" w:customStyle="1" w:styleId="ListLabel64">
    <w:name w:val="ListLabel 64"/>
    <w:qFormat/>
    <w:rPr>
      <w:rFonts w:cs="Symbol"/>
      <w:sz w:val="24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  <w:sz w:val="24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OpenSymbol, 'Arial Unicode MS'"/>
      <w:sz w:val="24"/>
    </w:rPr>
  </w:style>
  <w:style w:type="character" w:customStyle="1" w:styleId="ListLabel83">
    <w:name w:val="ListLabel 83"/>
    <w:qFormat/>
    <w:rPr>
      <w:rFonts w:cs="OpenSymbol, 'Arial Unicode MS'"/>
    </w:rPr>
  </w:style>
  <w:style w:type="character" w:customStyle="1" w:styleId="ListLabel84">
    <w:name w:val="ListLabel 84"/>
    <w:qFormat/>
    <w:rPr>
      <w:rFonts w:cs="OpenSymbol, 'Arial Unicode MS'"/>
    </w:rPr>
  </w:style>
  <w:style w:type="character" w:customStyle="1" w:styleId="ListLabel85">
    <w:name w:val="ListLabel 85"/>
    <w:qFormat/>
    <w:rPr>
      <w:rFonts w:cs="OpenSymbol, 'Arial Unicode MS'"/>
    </w:rPr>
  </w:style>
  <w:style w:type="character" w:customStyle="1" w:styleId="ListLabel86">
    <w:name w:val="ListLabel 86"/>
    <w:qFormat/>
    <w:rPr>
      <w:rFonts w:cs="OpenSymbol, 'Arial Unicode MS'"/>
    </w:rPr>
  </w:style>
  <w:style w:type="character" w:customStyle="1" w:styleId="ListLabel87">
    <w:name w:val="ListLabel 87"/>
    <w:qFormat/>
    <w:rPr>
      <w:rFonts w:cs="OpenSymbol, 'Arial Unicode MS'"/>
    </w:rPr>
  </w:style>
  <w:style w:type="character" w:customStyle="1" w:styleId="ListLabel88">
    <w:name w:val="ListLabel 88"/>
    <w:qFormat/>
    <w:rPr>
      <w:rFonts w:cs="OpenSymbol, 'Arial Unicode MS'"/>
    </w:rPr>
  </w:style>
  <w:style w:type="character" w:customStyle="1" w:styleId="ListLabel89">
    <w:name w:val="ListLabel 89"/>
    <w:qFormat/>
    <w:rPr>
      <w:rFonts w:cs="OpenSymbol, 'Arial Unicode MS'"/>
    </w:rPr>
  </w:style>
  <w:style w:type="character" w:customStyle="1" w:styleId="ListLabel90">
    <w:name w:val="ListLabel 90"/>
    <w:qFormat/>
    <w:rPr>
      <w:rFonts w:cs="OpenSymbol, 'Arial Unicode MS'"/>
    </w:rPr>
  </w:style>
  <w:style w:type="character" w:customStyle="1" w:styleId="ListLabel91">
    <w:name w:val="ListLabel 91"/>
    <w:qFormat/>
    <w:rPr>
      <w:rFonts w:cs="Symbol"/>
      <w:sz w:val="24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  <w:sz w:val="24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3EA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3689C"/>
    <w:rPr>
      <w:i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qFormat/>
    <w:rsid w:val="00D3689C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3F3EAB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qFormat/>
    <w:rsid w:val="00002467"/>
    <w:pPr>
      <w:spacing w:line="480" w:lineRule="atLeast"/>
    </w:pPr>
    <w:rPr>
      <w:sz w:val="24"/>
    </w:rPr>
  </w:style>
  <w:style w:type="paragraph" w:customStyle="1" w:styleId="Nagwektabeli">
    <w:name w:val="Nagłówek tabeli"/>
    <w:basedOn w:val="Zawartotabeli"/>
    <w:qFormat/>
  </w:style>
  <w:style w:type="numbering" w:customStyle="1" w:styleId="WW8Num3">
    <w:name w:val="WW8Num3"/>
    <w:qFormat/>
    <w:rsid w:val="00251782"/>
  </w:style>
  <w:style w:type="numbering" w:customStyle="1" w:styleId="WW8Num4">
    <w:name w:val="WW8Num4"/>
    <w:qFormat/>
    <w:rsid w:val="00251782"/>
  </w:style>
  <w:style w:type="numbering" w:customStyle="1" w:styleId="WW8Num5">
    <w:name w:val="WW8Num5"/>
    <w:qFormat/>
    <w:rsid w:val="00251782"/>
  </w:style>
  <w:style w:type="table" w:styleId="Tabela-Siatka">
    <w:name w:val="Table Grid"/>
    <w:basedOn w:val="Standardowy"/>
    <w:uiPriority w:val="39"/>
    <w:rsid w:val="00723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6730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Izdebska</dc:creator>
  <cp:keywords/>
  <dc:description/>
  <cp:lastModifiedBy>Ewa Izdebska</cp:lastModifiedBy>
  <cp:revision>7</cp:revision>
  <cp:lastPrinted>2024-01-10T09:14:00Z</cp:lastPrinted>
  <dcterms:created xsi:type="dcterms:W3CDTF">2020-12-07T11:57:00Z</dcterms:created>
  <dcterms:modified xsi:type="dcterms:W3CDTF">2026-01-14T13:30:00Z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